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984"/>
      </w:tblGrid>
      <w:tr w:rsidR="00C1420B" w:rsidRPr="00846A32" w14:paraId="0870C9AA" w14:textId="77777777" w:rsidTr="00033C2B">
        <w:trPr>
          <w:jc w:val="center"/>
        </w:trPr>
        <w:tc>
          <w:tcPr>
            <w:tcW w:w="10768" w:type="dxa"/>
          </w:tcPr>
          <w:p w14:paraId="4237D514" w14:textId="07F15DB2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846A32">
              <w:rPr>
                <w:rFonts w:asciiTheme="majorHAnsi" w:hAnsiTheme="majorHAnsi"/>
                <w:b/>
                <w:bCs/>
              </w:rPr>
              <w:t>Cas pratiques - 2026FCS0007</w:t>
            </w:r>
          </w:p>
          <w:p w14:paraId="72F62D5D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69374577" w14:textId="77777777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</w:p>
        </w:tc>
      </w:tr>
      <w:tr w:rsidR="00C1420B" w:rsidRPr="00846A32" w14:paraId="636D25E7" w14:textId="77777777" w:rsidTr="00033C2B">
        <w:trPr>
          <w:jc w:val="center"/>
        </w:trPr>
        <w:tc>
          <w:tcPr>
            <w:tcW w:w="10768" w:type="dxa"/>
          </w:tcPr>
          <w:tbl>
            <w:tblPr>
              <w:tblStyle w:val="Grilledutableau"/>
              <w:tblW w:w="10768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68"/>
            </w:tblGrid>
            <w:tr w:rsidR="00305A7A" w:rsidRPr="00EF208C" w14:paraId="10208209" w14:textId="77777777" w:rsidTr="00033C2B">
              <w:trPr>
                <w:jc w:val="center"/>
              </w:trPr>
              <w:tc>
                <w:tcPr>
                  <w:tcW w:w="10768" w:type="dxa"/>
                </w:tcPr>
                <w:p w14:paraId="0E6893B4" w14:textId="77777777" w:rsidR="00305A7A" w:rsidRDefault="00305A7A" w:rsidP="00305A7A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</w:p>
                <w:p w14:paraId="5CF723AD" w14:textId="77777777" w:rsidR="00305A7A" w:rsidRPr="00EF208C" w:rsidRDefault="00305A7A" w:rsidP="00305A7A">
                  <w:pPr>
                    <w:jc w:val="center"/>
                    <w:rPr>
                      <w:b/>
                      <w:bCs/>
                    </w:rPr>
                  </w:pPr>
                  <w:r w:rsidRPr="00EF208C">
                    <w:rPr>
                      <w:b/>
                      <w:bCs/>
                      <w:color w:val="FF0000"/>
                    </w:rPr>
                    <w:t xml:space="preserve">LOT </w:t>
                  </w:r>
                  <w:r>
                    <w:rPr>
                      <w:b/>
                      <w:bCs/>
                      <w:color w:val="FF0000"/>
                    </w:rPr>
                    <w:t>3</w:t>
                  </w:r>
                  <w:r w:rsidRPr="00EF208C">
                    <w:rPr>
                      <w:b/>
                      <w:bCs/>
                      <w:color w:val="FF0000"/>
                    </w:rPr>
                    <w:t xml:space="preserve"> : MAINTENANCE DES </w:t>
                  </w:r>
                  <w:r>
                    <w:rPr>
                      <w:b/>
                      <w:bCs/>
                      <w:color w:val="FF0000"/>
                    </w:rPr>
                    <w:t>INSTALLATIONS DÉTECTION GAZ</w:t>
                  </w:r>
                </w:p>
              </w:tc>
            </w:tr>
          </w:tbl>
          <w:p w14:paraId="7ECB9702" w14:textId="3904F645" w:rsidR="00C1420B" w:rsidRPr="00846A32" w:rsidRDefault="00C1420B" w:rsidP="00033C2B">
            <w:pPr>
              <w:jc w:val="center"/>
              <w:rPr>
                <w:rFonts w:asciiTheme="majorHAnsi" w:hAnsiTheme="majorHAnsi"/>
                <w:b/>
                <w:bCs/>
              </w:rPr>
            </w:pPr>
          </w:p>
        </w:tc>
      </w:tr>
    </w:tbl>
    <w:p w14:paraId="385A782C" w14:textId="2248F73A" w:rsidR="00C1420B" w:rsidRPr="00846A32" w:rsidRDefault="00C1420B" w:rsidP="00C1420B">
      <w:pPr>
        <w:rPr>
          <w:rFonts w:asciiTheme="majorHAnsi" w:hAnsiTheme="majorHAnsi"/>
          <w:i/>
          <w:iCs/>
        </w:rPr>
      </w:pPr>
    </w:p>
    <w:tbl>
      <w:tblPr>
        <w:tblStyle w:val="Grilledutableau"/>
        <w:tblW w:w="0" w:type="auto"/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9062"/>
      </w:tblGrid>
      <w:tr w:rsidR="00C1420B" w:rsidRPr="00846A32" w14:paraId="607856F5" w14:textId="77777777" w:rsidTr="00C1420B">
        <w:tc>
          <w:tcPr>
            <w:tcW w:w="9062" w:type="dxa"/>
            <w:shd w:val="clear" w:color="auto" w:fill="C1E4F5" w:themeFill="accent1" w:themeFillTint="33"/>
          </w:tcPr>
          <w:p w14:paraId="1683A249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Il est attendu des candidats qu’ils chiffrent le(s) cas pratique(s) ci-dessous.</w:t>
            </w:r>
          </w:p>
          <w:p w14:paraId="6217FDC1" w14:textId="4F485B45" w:rsid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/>
                <w:b/>
                <w:bCs/>
                <w:i/>
                <w:iCs/>
              </w:rPr>
            </w:pPr>
            <w:r w:rsidRPr="00846A32">
              <w:rPr>
                <w:rFonts w:asciiTheme="majorHAnsi" w:hAnsiTheme="majorHAnsi"/>
                <w:b/>
                <w:bCs/>
                <w:i/>
                <w:iCs/>
              </w:rPr>
              <w:t>Dans chaque cas pratique, le temps de travail hors déplacement est toujours inférieur à une heure.</w:t>
            </w:r>
          </w:p>
          <w:p w14:paraId="2C2255E4" w14:textId="0DEA3D39" w:rsidR="00846A32" w:rsidRPr="00846A32" w:rsidRDefault="00846A32" w:rsidP="00846A32">
            <w:pPr>
              <w:tabs>
                <w:tab w:val="center" w:pos="4819"/>
              </w:tabs>
              <w:spacing w:after="120"/>
              <w:jc w:val="both"/>
              <w:rPr>
                <w:rFonts w:asciiTheme="majorHAnsi" w:hAnsiTheme="majorHAnsi" w:cs="Arial"/>
                <w:b/>
                <w:bCs/>
              </w:rPr>
            </w:pPr>
            <w:r>
              <w:rPr>
                <w:rFonts w:asciiTheme="majorHAnsi" w:hAnsiTheme="majorHAnsi" w:cs="Arial"/>
                <w:b/>
                <w:bCs/>
              </w:rPr>
              <w:t>Il est attendu un chiffrage comprenant le déplacement, l’intervention (main d’œuvre), la programmation (au besoin) et la fourniture.</w:t>
            </w:r>
          </w:p>
          <w:p w14:paraId="52F58B08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Pour tout poste commun, le BPU prévaut : les intitulés et tarifs doivent être repris à l'identique. </w:t>
            </w:r>
          </w:p>
          <w:p w14:paraId="30E39ACF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Le chiffrage devra, au besoin, également faire apparaître le coefficient de sous-traitance.</w:t>
            </w:r>
          </w:p>
          <w:p w14:paraId="26B6B611" w14:textId="77777777" w:rsidR="00C1420B" w:rsidRPr="00846A32" w:rsidRDefault="00C1420B" w:rsidP="00C1420B">
            <w:p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Le candidat veille à </w:t>
            </w:r>
          </w:p>
          <w:p w14:paraId="4A736CDD" w14:textId="77777777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 xml:space="preserve">Détailler les postes chiffrés en indiquant les postes et pas uniquement un tarif </w:t>
            </w:r>
          </w:p>
          <w:p w14:paraId="509228D9" w14:textId="77777777" w:rsidR="00B60372" w:rsidRPr="00846A32" w:rsidRDefault="00B60372" w:rsidP="00B60372">
            <w:pPr>
              <w:pStyle w:val="Paragraphedeliste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Faire apparaître au besoin le coefficient de sous-traitance</w:t>
            </w:r>
            <w:r>
              <w:rPr>
                <w:rFonts w:asciiTheme="majorHAnsi" w:hAnsiTheme="majorHAnsi"/>
                <w:i/>
                <w:iCs/>
              </w:rPr>
              <w:t xml:space="preserve"> / coefficient sur les pièces</w:t>
            </w:r>
          </w:p>
          <w:p w14:paraId="7E6AC0EE" w14:textId="26818954" w:rsidR="00C1420B" w:rsidRPr="00846A32" w:rsidRDefault="00C1420B" w:rsidP="00C1420B">
            <w:pPr>
              <w:pStyle w:val="Paragraphedeliste"/>
              <w:numPr>
                <w:ilvl w:val="0"/>
                <w:numId w:val="1"/>
              </w:numPr>
              <w:rPr>
                <w:rFonts w:asciiTheme="majorHAnsi" w:hAnsiTheme="majorHAnsi"/>
                <w:i/>
                <w:iCs/>
              </w:rPr>
            </w:pPr>
            <w:r w:rsidRPr="00846A32">
              <w:rPr>
                <w:rFonts w:asciiTheme="majorHAnsi" w:hAnsiTheme="majorHAnsi"/>
                <w:i/>
                <w:iCs/>
              </w:rPr>
              <w:t>Indiquer le tarif HT et TTC</w:t>
            </w:r>
          </w:p>
        </w:tc>
      </w:tr>
    </w:tbl>
    <w:p w14:paraId="3501A5E4" w14:textId="77777777" w:rsidR="00C1420B" w:rsidRPr="00846A32" w:rsidRDefault="00C1420B" w:rsidP="00C1420B">
      <w:pPr>
        <w:rPr>
          <w:rFonts w:asciiTheme="majorHAnsi" w:hAnsiTheme="majorHAnsi"/>
          <w:i/>
          <w:iCs/>
        </w:rPr>
      </w:pPr>
    </w:p>
    <w:p w14:paraId="2BBC7526" w14:textId="40CABEA3" w:rsidR="00305A7A" w:rsidRDefault="00305A7A" w:rsidP="00305A7A">
      <w:pPr>
        <w:spacing w:after="120"/>
        <w:jc w:val="both"/>
        <w:rPr>
          <w:rFonts w:asciiTheme="majorHAnsi" w:hAnsiTheme="majorHAnsi" w:cs="Arial"/>
        </w:rPr>
      </w:pPr>
      <w:r w:rsidRPr="00977342">
        <w:rPr>
          <w:rFonts w:asciiTheme="majorHAnsi" w:hAnsiTheme="majorHAnsi" w:cs="Arial"/>
        </w:rPr>
        <w:t xml:space="preserve">Cas pratique 1 : remplacement de capteurs OLCT 10N O₂ version 5 ans </w:t>
      </w:r>
    </w:p>
    <w:p w14:paraId="77E6F30D" w14:textId="77777777" w:rsidR="00305A7A" w:rsidRPr="00846A32" w:rsidRDefault="00305A7A" w:rsidP="00305A7A">
      <w:pPr>
        <w:rPr>
          <w:rFonts w:asciiTheme="majorHAnsi" w:hAnsiTheme="majorHAnsi"/>
          <w:i/>
          <w:iCs/>
        </w:rPr>
      </w:pPr>
      <w:r w:rsidRPr="00846A32">
        <w:rPr>
          <w:rFonts w:asciiTheme="majorHAnsi" w:hAnsiTheme="majorHAnsi" w:cs="Arial"/>
        </w:rPr>
        <w:t>…</w:t>
      </w:r>
    </w:p>
    <w:p w14:paraId="720743C6" w14:textId="77777777" w:rsidR="00305A7A" w:rsidRPr="00977342" w:rsidRDefault="00305A7A" w:rsidP="00305A7A">
      <w:pPr>
        <w:spacing w:after="120"/>
        <w:jc w:val="both"/>
        <w:rPr>
          <w:rFonts w:asciiTheme="majorHAnsi" w:hAnsiTheme="majorHAnsi" w:cs="Arial"/>
        </w:rPr>
      </w:pPr>
      <w:r w:rsidRPr="00977342">
        <w:rPr>
          <w:rFonts w:asciiTheme="majorHAnsi" w:hAnsiTheme="majorHAnsi" w:cs="Arial"/>
        </w:rPr>
        <w:t xml:space="preserve">Cas pratique 2 : réglage des zéros au gaz étalon d’un détecteur O₂ </w:t>
      </w:r>
    </w:p>
    <w:p w14:paraId="21585F07" w14:textId="01A1700E" w:rsidR="00977342" w:rsidRPr="00977342" w:rsidRDefault="00977342" w:rsidP="00305A7A">
      <w:pPr>
        <w:spacing w:after="120"/>
        <w:jc w:val="both"/>
        <w:rPr>
          <w:rFonts w:asciiTheme="majorHAnsi" w:hAnsiTheme="majorHAnsi" w:cs="Arial"/>
        </w:rPr>
      </w:pPr>
    </w:p>
    <w:sectPr w:rsidR="00977342" w:rsidRPr="009773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4C3DD0"/>
    <w:multiLevelType w:val="hybridMultilevel"/>
    <w:tmpl w:val="7876A198"/>
    <w:lvl w:ilvl="0" w:tplc="F988A3D4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890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065"/>
    <w:rsid w:val="001273A8"/>
    <w:rsid w:val="00305A7A"/>
    <w:rsid w:val="005058D9"/>
    <w:rsid w:val="00536065"/>
    <w:rsid w:val="006B29B9"/>
    <w:rsid w:val="007B5D55"/>
    <w:rsid w:val="00846A32"/>
    <w:rsid w:val="00881572"/>
    <w:rsid w:val="00977342"/>
    <w:rsid w:val="00B60372"/>
    <w:rsid w:val="00C1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40A9F"/>
  <w15:chartTrackingRefBased/>
  <w15:docId w15:val="{A7F9756D-345F-448C-9A66-A3B3758A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20B"/>
  </w:style>
  <w:style w:type="paragraph" w:styleId="Titre1">
    <w:name w:val="heading 1"/>
    <w:basedOn w:val="Normal"/>
    <w:next w:val="Normal"/>
    <w:link w:val="Titre1Car"/>
    <w:uiPriority w:val="9"/>
    <w:qFormat/>
    <w:rsid w:val="005360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360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360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360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360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360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360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360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360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360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360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360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3606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3606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3606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3606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3606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3606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360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360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60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360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360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3606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3606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3606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360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3606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36065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1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7</cp:revision>
  <dcterms:created xsi:type="dcterms:W3CDTF">2026-03-11T14:33:00Z</dcterms:created>
  <dcterms:modified xsi:type="dcterms:W3CDTF">2026-03-11T15:07:00Z</dcterms:modified>
</cp:coreProperties>
</file>